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1051D">
      <w:pPr>
        <w:pStyle w:val="3"/>
        <w:bidi w:val="0"/>
        <w:jc w:val="center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>其他需要说明的事项</w:t>
      </w:r>
    </w:p>
    <w:p w14:paraId="5BB71145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根据《建设项目竣工环境保护验收暂行办法》，“其他需要说明的事项”中应如实记载的内容包括环境保护设施设计、施工和验收过程简况，环境影响报告书（表）及其审批部门审批决定中提出的，除环境保护设施外的其他环境保护措施的落实情况，以及整改工作情况等，现将建设单位需要说明的具体内容和要求列举如下：</w:t>
      </w:r>
    </w:p>
    <w:p w14:paraId="7E0C2940">
      <w:pPr>
        <w:pStyle w:val="4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1环境保护设施设计、施工和验收过程简况</w:t>
      </w:r>
    </w:p>
    <w:p w14:paraId="4B0032B8">
      <w:pPr>
        <w:pStyle w:val="4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1.1设计简况</w:t>
      </w:r>
    </w:p>
    <w:p w14:paraId="4BAADEBB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建设项目的环境保护设施纳入初步设计，环境保护设施设计符合环境保护设计规范要求，编制了环境保护篇章，落实了防止污染和生态破坏的措施，环境保护设施投资为</w:t>
      </w:r>
      <w:r>
        <w:rPr>
          <w:rFonts w:hint="eastAsia" w:ascii="Times New Roman" w:hAnsi="Times New Roman" w:cs="Times New Roman"/>
          <w:lang w:val="en-US" w:eastAsia="zh-CN"/>
        </w:rPr>
        <w:t>200</w:t>
      </w:r>
      <w:r>
        <w:rPr>
          <w:rFonts w:hint="default" w:ascii="Times New Roman" w:hAnsi="Times New Roman" w:cs="Times New Roman"/>
        </w:rPr>
        <w:t>万元，占总投资的</w:t>
      </w:r>
      <w:r>
        <w:rPr>
          <w:rFonts w:hint="eastAsia" w:ascii="Times New Roman" w:hAnsi="Times New Roman" w:cs="Times New Roman"/>
          <w:lang w:val="en-US" w:eastAsia="zh-CN"/>
        </w:rPr>
        <w:t>0.38</w:t>
      </w:r>
      <w:r>
        <w:rPr>
          <w:rFonts w:hint="default" w:ascii="Times New Roman" w:hAnsi="Times New Roman" w:cs="Times New Roman"/>
        </w:rPr>
        <w:t>%。</w:t>
      </w:r>
    </w:p>
    <w:p w14:paraId="7A5B02B6">
      <w:pPr>
        <w:pStyle w:val="4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1.2施工简况</w:t>
      </w:r>
    </w:p>
    <w:p w14:paraId="2563BF13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环境保护设施纳入了施工合同，同时环境保护设施的建设进度和资金得到了保证，项目建设过程中组织实施了环境影响报告</w:t>
      </w:r>
      <w:r>
        <w:rPr>
          <w:rFonts w:hint="eastAsia" w:ascii="Times New Roman" w:hAnsi="Times New Roman" w:cs="Times New Roman"/>
          <w:lang w:eastAsia="zh-CN"/>
        </w:rPr>
        <w:t>表</w:t>
      </w:r>
      <w:r>
        <w:rPr>
          <w:rFonts w:hint="default" w:ascii="Times New Roman" w:hAnsi="Times New Roman" w:cs="Times New Roman"/>
        </w:rPr>
        <w:t>及其审批部门审批决定中提出的环境保护对策措施。</w:t>
      </w:r>
    </w:p>
    <w:p w14:paraId="2893E042">
      <w:pPr>
        <w:pStyle w:val="4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1.3验收过程简况</w:t>
      </w:r>
    </w:p>
    <w:p w14:paraId="5CFD5CD1">
      <w:pPr>
        <w:bidi w:val="0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项目于2022年10月14日取得安庆市迎江区发展和改革委员会备案（项目代码：2210-340802-04-05-456260），项目占地面积21126.90m2，规划建设标准化生产厂房、员工中心、科研楼及其它套附属设施等，购置串联生产机、成缆机、激光切割机等生产设备。年产通信线缆15万箱，光缆10万公里，网络集成机柜10万套。项目于2023年5月24日取得安庆市迎江区生态环境分局环评批复。建设过程中发生重大变动，需要重新报批。企业于2025年4月29日取得安庆市迎江区发展和改革委员会变更备案（项目代码：2210-340802-04-05-456260）。2025年5月完成环评，在2025年6月5日获得安庆市迎江区生态环境分局《关于安徽亿思特通信股份有限公司亿思特通信产业园项目（重新报批）环境影响报告表审查意见的函》（迎江环建函(2025)6号）。企业于2025年6月进行排污许可登记，证书编号:91340800MA8PHRYFXD。2025年7月31日-8月3日安徽安卓环境科技有限公司开展了废气、噪声的现场检测。（CMA:251212052399）</w:t>
      </w:r>
      <w:r>
        <w:rPr>
          <w:rFonts w:hint="default" w:ascii="Times New Roman" w:hAnsi="Times New Roman" w:cs="Times New Roman"/>
        </w:rPr>
        <w:t>。</w:t>
      </w:r>
    </w:p>
    <w:p w14:paraId="66720809">
      <w:pPr>
        <w:spacing w:beforeLines="0" w:afterLines="0"/>
        <w:jc w:val="left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2025年9月11日，</w:t>
      </w:r>
      <w:r>
        <w:rPr>
          <w:rFonts w:hint="eastAsia"/>
          <w:lang w:eastAsia="zh-CN"/>
        </w:rPr>
        <w:t>安徽亿思特通信股份有限公司</w:t>
      </w:r>
      <w:r>
        <w:rPr>
          <w:rFonts w:hint="eastAsia" w:ascii="宋体" w:hAnsi="宋体" w:eastAsia="宋体"/>
          <w:sz w:val="24"/>
        </w:rPr>
        <w:t>邀请了三名专家等共</w:t>
      </w:r>
      <w:r>
        <w:rPr>
          <w:rFonts w:hint="eastAsia" w:ascii="TimesNewRomanPSMT" w:hAnsi="TimesNewRomanPSMT"/>
          <w:sz w:val="24"/>
          <w:lang w:val="en-US" w:eastAsia="zh-CN"/>
        </w:rPr>
        <w:t>7</w:t>
      </w:r>
      <w:r>
        <w:rPr>
          <w:rFonts w:hint="eastAsia" w:ascii="宋体" w:hAnsi="宋体" w:eastAsia="宋体"/>
          <w:sz w:val="24"/>
        </w:rPr>
        <w:t>人，在</w:t>
      </w:r>
      <w:r>
        <w:rPr>
          <w:rFonts w:hint="eastAsia"/>
          <w:lang w:eastAsia="zh-CN"/>
        </w:rPr>
        <w:t>安徽亿思特通信股份有限公司</w:t>
      </w:r>
      <w:r>
        <w:rPr>
          <w:rFonts w:hint="eastAsia" w:ascii="宋体" w:hAnsi="宋体"/>
          <w:sz w:val="24"/>
          <w:lang w:eastAsia="zh-CN"/>
        </w:rPr>
        <w:t>召开了</w:t>
      </w:r>
      <w:r>
        <w:rPr>
          <w:rFonts w:hint="eastAsia" w:ascii="宋体" w:hAnsi="宋体" w:eastAsia="宋体"/>
          <w:sz w:val="24"/>
        </w:rPr>
        <w:t>亿思特通信产业园项目（重新报批）竣工环境保护验收现场会</w:t>
      </w:r>
      <w:r>
        <w:rPr>
          <w:rFonts w:hint="eastAsia" w:ascii="宋体" w:hAnsi="宋体"/>
          <w:sz w:val="24"/>
          <w:lang w:eastAsia="zh-CN"/>
        </w:rPr>
        <w:t>。</w:t>
      </w:r>
    </w:p>
    <w:p w14:paraId="66F37128">
      <w:pPr>
        <w:pStyle w:val="4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1.4公众反馈意见及处理情况</w:t>
      </w:r>
    </w:p>
    <w:p w14:paraId="63668EF8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建设项目在设计、施工和验收期间并未收到过公众反馈意见或投诉。</w:t>
      </w:r>
    </w:p>
    <w:p w14:paraId="564D9704">
      <w:pPr>
        <w:pStyle w:val="4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2其他环境保护措施的落实情况</w:t>
      </w:r>
    </w:p>
    <w:p w14:paraId="4769FD44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环境影响报告表及其审批部门审批决定中提出的，除环境保护设施外的其他环境保护措施，主要包括制度措施和配套措施等，现将需要说明的措施内容和要求梳理如下：</w:t>
      </w:r>
    </w:p>
    <w:p w14:paraId="4336BD1B">
      <w:pPr>
        <w:pStyle w:val="4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2.1制度措施落实情况</w:t>
      </w:r>
    </w:p>
    <w:p w14:paraId="17DE85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（1）环保组织机构及规章制度</w:t>
      </w:r>
    </w:p>
    <w:p w14:paraId="6E364B50">
      <w:pPr>
        <w:spacing w:beforeLines="0" w:afterLines="0"/>
        <w:jc w:val="left"/>
        <w:rPr>
          <w:rFonts w:hint="eastAsia" w:ascii="宋体" w:hAnsi="宋体" w:eastAsia="宋体"/>
          <w:sz w:val="24"/>
        </w:rPr>
      </w:pPr>
      <w:r>
        <w:rPr>
          <w:rFonts w:hint="eastAsia" w:ascii="宋体" w:hAnsi="宋体"/>
          <w:sz w:val="24"/>
          <w:lang w:eastAsia="zh-CN"/>
        </w:rPr>
        <w:t>安徽亿思特通信股份有限公司</w:t>
      </w:r>
      <w:r>
        <w:rPr>
          <w:rFonts w:hint="eastAsia" w:ascii="宋体" w:hAnsi="宋体" w:eastAsia="宋体"/>
          <w:sz w:val="24"/>
        </w:rPr>
        <w:t>建立了环保组，主要负责公司的安全生产、环境保护及安全监督监测工作，全面落实安全、环保责任制。</w:t>
      </w:r>
    </w:p>
    <w:p w14:paraId="53DFF0C5">
      <w:pPr>
        <w:spacing w:beforeLines="0" w:afterLines="0"/>
        <w:jc w:val="lef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我公司各项环保规章制度及主要内容详见下表。</w:t>
      </w:r>
    </w:p>
    <w:p w14:paraId="069C4C05">
      <w:pPr>
        <w:pStyle w:val="13"/>
        <w:bidi w:val="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表</w:t>
      </w:r>
      <w:r>
        <w:rPr>
          <w:rFonts w:hint="eastAsia" w:ascii="TimesNewRomanPSMT" w:hAnsi="TimesNewRomanPSMT" w:eastAsia="TimesNewRomanPSMT"/>
          <w:sz w:val="24"/>
        </w:rPr>
        <w:t xml:space="preserve">1 </w:t>
      </w:r>
      <w:r>
        <w:rPr>
          <w:rFonts w:hint="eastAsia" w:ascii="宋体" w:hAnsi="宋体" w:eastAsia="宋体"/>
          <w:sz w:val="24"/>
        </w:rPr>
        <w:t>公司各项环保规章制度及主要内容一览表</w:t>
      </w:r>
    </w:p>
    <w:tbl>
      <w:tblPr>
        <w:tblStyle w:val="7"/>
        <w:tblW w:w="0" w:type="auto"/>
        <w:tblInd w:w="2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237"/>
        <w:gridCol w:w="5150"/>
      </w:tblGrid>
      <w:tr w14:paraId="4B6D0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C506E9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0" w:name="序号"/>
            <w:bookmarkEnd w:id="0"/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2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F45D846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1" w:name="制度名称"/>
            <w:bookmarkEnd w:id="1"/>
            <w:r>
              <w:rPr>
                <w:rFonts w:hint="eastAsia"/>
                <w:sz w:val="21"/>
                <w:szCs w:val="21"/>
              </w:rPr>
              <w:t>制度名称</w:t>
            </w:r>
          </w:p>
        </w:tc>
        <w:tc>
          <w:tcPr>
            <w:tcW w:w="5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A531B2F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2" w:name="主要内容"/>
            <w:bookmarkEnd w:id="2"/>
            <w:r>
              <w:rPr>
                <w:rFonts w:hint="eastAsia"/>
                <w:sz w:val="21"/>
                <w:szCs w:val="21"/>
              </w:rPr>
              <w:t>主要内容</w:t>
            </w:r>
          </w:p>
        </w:tc>
      </w:tr>
      <w:tr w14:paraId="62532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exac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82EC021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3" w:name="1"/>
            <w:bookmarkEnd w:id="3"/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E93773F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4" w:name="环境保护管理制度"/>
            <w:bookmarkEnd w:id="4"/>
            <w:r>
              <w:rPr>
                <w:rFonts w:hint="eastAsia"/>
                <w:sz w:val="21"/>
                <w:szCs w:val="21"/>
              </w:rPr>
              <w:t>环境保护管理制度</w:t>
            </w:r>
          </w:p>
        </w:tc>
        <w:tc>
          <w:tcPr>
            <w:tcW w:w="5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91FC60D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5" w:name="坚持推行清洁生产，实行生产全过程污染控制的原则，实行环境保护工作一票否定制，确定了环保负责人，污染防"/>
            <w:bookmarkEnd w:id="5"/>
            <w:r>
              <w:rPr>
                <w:rFonts w:hint="eastAsia"/>
                <w:sz w:val="21"/>
                <w:szCs w:val="21"/>
              </w:rPr>
              <w:t>坚持推行清洁生产，实行生产全过程污染控制的原则，实行环境保护工作一票否定制，确定了环保负责人，污染防治与三废资源综合利用</w:t>
            </w:r>
          </w:p>
        </w:tc>
      </w:tr>
      <w:tr w14:paraId="159B0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exac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B97BAEC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6" w:name="2"/>
            <w:bookmarkEnd w:id="6"/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2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681EBDA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7" w:name="固体废物管理制度"/>
            <w:bookmarkEnd w:id="7"/>
            <w:r>
              <w:rPr>
                <w:rFonts w:hint="eastAsia"/>
                <w:sz w:val="21"/>
                <w:szCs w:val="21"/>
              </w:rPr>
              <w:t>固体废物管理制度</w:t>
            </w:r>
          </w:p>
        </w:tc>
        <w:tc>
          <w:tcPr>
            <w:tcW w:w="5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217C233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8" w:name="公司范围内危险废物的产生、收集、储存和处置等活动的管理，确定了领导小组和环保责任人"/>
            <w:bookmarkEnd w:id="8"/>
            <w:r>
              <w:rPr>
                <w:rFonts w:hint="eastAsia"/>
                <w:sz w:val="21"/>
                <w:szCs w:val="21"/>
              </w:rPr>
              <w:t>公司范围内危险废物的产生、收集、储存和处置等活动的管理，确定了领导小组和环保责任人</w:t>
            </w:r>
          </w:p>
        </w:tc>
      </w:tr>
      <w:tr w14:paraId="47F50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exac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7A73AC0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9" w:name="3"/>
            <w:bookmarkEnd w:id="9"/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2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CC21150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10" w:name="环保设施检修与管理制度"/>
            <w:bookmarkEnd w:id="10"/>
            <w:r>
              <w:rPr>
                <w:rFonts w:hint="eastAsia"/>
                <w:sz w:val="21"/>
                <w:szCs w:val="21"/>
              </w:rPr>
              <w:t>环保设施检修与管理制度</w:t>
            </w:r>
          </w:p>
        </w:tc>
        <w:tc>
          <w:tcPr>
            <w:tcW w:w="5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AFB673B">
            <w:pPr>
              <w:pStyle w:val="14"/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1"/>
                <w:szCs w:val="21"/>
              </w:rPr>
            </w:pPr>
            <w:bookmarkStart w:id="11" w:name="规定了公司的各环保设备检修与管理要求，包括台账记录及运行维护要求"/>
            <w:bookmarkEnd w:id="11"/>
            <w:r>
              <w:rPr>
                <w:rFonts w:hint="eastAsia"/>
                <w:sz w:val="21"/>
                <w:szCs w:val="21"/>
              </w:rPr>
              <w:t>规定了公司的各环保设备检修与管理要求，包括台账记录及运行维护要求</w:t>
            </w:r>
          </w:p>
        </w:tc>
      </w:tr>
    </w:tbl>
    <w:p w14:paraId="6980B9A2">
      <w:pPr>
        <w:ind w:left="0" w:leftChars="0" w:firstLine="0" w:firstLineChars="0"/>
        <w:rPr>
          <w:rFonts w:hint="default"/>
        </w:rPr>
      </w:pPr>
    </w:p>
    <w:p w14:paraId="0E0DEA43">
      <w:pPr>
        <w:bidi w:val="0"/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）环境风险防范措施</w:t>
      </w:r>
    </w:p>
    <w:p w14:paraId="6CC307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eastAsia="zh-CN"/>
        </w:rPr>
        <w:t>①</w:t>
      </w:r>
      <w:r>
        <w:rPr>
          <w:rFonts w:hint="eastAsia" w:ascii="Times New Roman" w:hAnsi="Times New Roman" w:eastAsia="宋体" w:cs="宋体"/>
          <w:bCs/>
          <w:snapToGrid/>
          <w:kern w:val="2"/>
          <w:sz w:val="24"/>
          <w:szCs w:val="24"/>
          <w:lang w:val="en-US" w:eastAsia="zh-CN" w:bidi="ar"/>
        </w:rPr>
        <w:t>车间总平面布置，严格执行国家规范要求，所有建、构筑物之间或与其它场所之间留有足够的防火间距，防止在火灾或爆炸时相互影响。道路人、货流分开，满足消防通道和人员疏散要求。</w:t>
      </w:r>
    </w:p>
    <w:p w14:paraId="4CDFA2DB">
      <w:pPr>
        <w:keepNext w:val="0"/>
        <w:keepLines w:val="0"/>
        <w:pageBreakBefore w:val="0"/>
        <w:widowControl w:val="0"/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cs="Times New Roman"/>
          <w:color w:val="000000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eastAsia="zh-CN"/>
        </w:rPr>
        <w:t>②配置完善的消防水系统、配置灭火器材等。</w:t>
      </w:r>
    </w:p>
    <w:p w14:paraId="02453BF5">
      <w:pPr>
        <w:keepNext w:val="0"/>
        <w:keepLines w:val="0"/>
        <w:pageBreakBefore w:val="0"/>
        <w:widowControl w:val="0"/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Cs/>
          <w:snapToGrid/>
          <w:kern w:val="2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eastAsia="zh-CN"/>
        </w:rPr>
        <w:t>③企业已完成应急预案的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/>
        </w:rPr>
        <w:t>编制备案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eastAsia="zh-CN"/>
        </w:rPr>
        <w:t>工作，本项目实施后和环评相比，企业未新增风险源</w:t>
      </w:r>
      <w:r>
        <w:rPr>
          <w:rFonts w:hint="eastAsia" w:ascii="Times New Roman" w:hAnsi="Times New Roman" w:eastAsia="宋体" w:cs="宋体"/>
          <w:bCs/>
          <w:snapToGrid/>
          <w:kern w:val="2"/>
          <w:sz w:val="24"/>
          <w:szCs w:val="24"/>
          <w:lang w:val="en-US" w:eastAsia="zh-CN" w:bidi="ar"/>
        </w:rPr>
        <w:t>。</w:t>
      </w:r>
    </w:p>
    <w:p w14:paraId="22AEA7FB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（3）环境监测计划</w:t>
      </w:r>
    </w:p>
    <w:p w14:paraId="16BABFEA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企业在环境影响报告</w:t>
      </w:r>
      <w:r>
        <w:rPr>
          <w:rFonts w:hint="eastAsia" w:ascii="Times New Roman" w:hAnsi="Times New Roman" w:cs="Times New Roman"/>
          <w:lang w:eastAsia="zh-CN"/>
        </w:rPr>
        <w:t>表</w:t>
      </w:r>
      <w:r>
        <w:rPr>
          <w:rFonts w:hint="default" w:ascii="Times New Roman" w:hAnsi="Times New Roman" w:cs="Times New Roman"/>
          <w:sz w:val="24"/>
          <w:szCs w:val="24"/>
        </w:rPr>
        <w:t>及其审批决定中要求落实污染源监测计划，对厂区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排放的</w:t>
      </w:r>
      <w:r>
        <w:rPr>
          <w:rFonts w:hint="eastAsia" w:ascii="Times New Roman" w:hAnsi="Times New Roman" w:cs="Times New Roman"/>
          <w:bCs/>
          <w:kern w:val="2"/>
          <w:sz w:val="24"/>
          <w:szCs w:val="24"/>
          <w:lang w:val="en-US" w:eastAsia="zh-CN" w:bidi="ar"/>
        </w:rPr>
        <w:t>废气、噪声</w:t>
      </w:r>
      <w:r>
        <w:rPr>
          <w:rFonts w:hint="default" w:ascii="Times New Roman" w:hAnsi="Times New Roman" w:cs="Times New Roman"/>
          <w:sz w:val="24"/>
          <w:szCs w:val="24"/>
        </w:rPr>
        <w:t>进行定期跟踪</w:t>
      </w:r>
      <w:r>
        <w:rPr>
          <w:rFonts w:hint="default" w:ascii="Times New Roman" w:hAnsi="Times New Roman" w:cs="Times New Roman"/>
        </w:rPr>
        <w:t>观测，监测其</w:t>
      </w:r>
      <w:r>
        <w:rPr>
          <w:rFonts w:hint="eastAsia" w:ascii="Times New Roman" w:hAnsi="Times New Roman" w:cs="Times New Roman"/>
          <w:lang w:eastAsia="zh-CN"/>
        </w:rPr>
        <w:t>污染物排放</w:t>
      </w:r>
      <w:r>
        <w:rPr>
          <w:rFonts w:hint="default" w:ascii="Times New Roman" w:hAnsi="Times New Roman" w:cs="Times New Roman"/>
        </w:rPr>
        <w:t>情况。根据本次验收监测结果，厂区</w:t>
      </w:r>
      <w:r>
        <w:rPr>
          <w:rFonts w:hint="eastAsia" w:ascii="Times New Roman" w:hAnsi="Times New Roman" w:cs="Times New Roman"/>
          <w:bCs/>
          <w:kern w:val="2"/>
          <w:sz w:val="24"/>
          <w:szCs w:val="24"/>
          <w:lang w:val="en-US" w:eastAsia="zh-CN" w:bidi="ar"/>
        </w:rPr>
        <w:t>废气、噪声</w:t>
      </w:r>
      <w:r>
        <w:rPr>
          <w:rFonts w:hint="default" w:ascii="Times New Roman" w:hAnsi="Times New Roman" w:cs="Times New Roman"/>
        </w:rPr>
        <w:t>监控点中</w:t>
      </w:r>
      <w:r>
        <w:rPr>
          <w:rFonts w:hint="eastAsia" w:ascii="Times New Roman" w:hAnsi="Times New Roman" w:cs="Times New Roman"/>
          <w:lang w:eastAsia="zh-CN"/>
        </w:rPr>
        <w:t>各项污染物监测数值均满足对应</w:t>
      </w:r>
      <w:r>
        <w:rPr>
          <w:rFonts w:hint="default" w:ascii="Times New Roman" w:hAnsi="Times New Roman" w:cs="Times New Roman"/>
        </w:rPr>
        <w:t>标准限值。</w:t>
      </w:r>
    </w:p>
    <w:p w14:paraId="0425AD13">
      <w:pPr>
        <w:pStyle w:val="4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2.2配套措施落实情况</w:t>
      </w:r>
    </w:p>
    <w:p w14:paraId="382C4DD1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（1）区域削减及淘汰落后产能</w:t>
      </w:r>
    </w:p>
    <w:p w14:paraId="4785889A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本项目不涉及区域削减及淘汰落后产能。</w:t>
      </w:r>
    </w:p>
    <w:p w14:paraId="07610816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（2）防护距离控制及居民搬迁</w:t>
      </w:r>
    </w:p>
    <w:p w14:paraId="331BEBAC">
      <w:pPr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根据</w:t>
      </w:r>
      <w:r>
        <w:rPr>
          <w:rFonts w:hint="eastAsia"/>
        </w:rPr>
        <w:t>《关于安徽亿思特通信股份有限公司亿思特通信产业园项目(重新报批)环境影响报告表的批复》（迎江环建函(2025)6号）</w:t>
      </w:r>
      <w:r>
        <w:rPr>
          <w:rFonts w:hint="default" w:ascii="Times New Roman" w:hAnsi="Times New Roman" w:cs="Times New Roman"/>
        </w:rPr>
        <w:t>，本次验收项目不涉及防护距离控制及居民搬迁。</w:t>
      </w:r>
    </w:p>
    <w:p w14:paraId="269A708A">
      <w:pPr>
        <w:pStyle w:val="4"/>
        <w:rPr>
          <w:rFonts w:hint="default" w:ascii="Times New Roman" w:hAnsi="Times New Roman" w:cs="Times New Roman"/>
          <w:b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/>
          <w:bCs w:val="0"/>
          <w:color w:val="000000"/>
          <w:szCs w:val="21"/>
        </w:rPr>
        <w:t>3整改工作情况</w:t>
      </w:r>
    </w:p>
    <w:p w14:paraId="00918B0B">
      <w:pPr>
        <w:numPr>
          <w:ilvl w:val="0"/>
          <w:numId w:val="1"/>
        </w:numPr>
        <w:bidi w:val="0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对照环评及批复，进一步核实设备设施、污染防治措施等实际建设内容；</w:t>
      </w:r>
    </w:p>
    <w:p w14:paraId="76347583">
      <w:pPr>
        <w:numPr>
          <w:ilvl w:val="0"/>
          <w:numId w:val="1"/>
        </w:numPr>
        <w:bidi w:val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 w:eastAsiaTheme="minorEastAsia"/>
          <w:lang w:val="en-US" w:eastAsia="zh-CN"/>
        </w:rPr>
        <w:t>已校核水平衡图；核实碱性清洗剂用量及相关固废产生量，进一步规范一般固废库规范化建设与管理。</w:t>
      </w:r>
    </w:p>
    <w:p w14:paraId="1EFCDBED">
      <w:pPr>
        <w:bidi w:val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 w:eastAsiaTheme="minorEastAsia"/>
          <w:lang w:eastAsia="zh-CN"/>
        </w:rPr>
        <w:t>（</w:t>
      </w:r>
      <w:r>
        <w:rPr>
          <w:rFonts w:hint="eastAsia" w:ascii="Times New Roman" w:hAnsi="Times New Roman" w:cs="Times New Roman" w:eastAsiaTheme="minorEastAsia"/>
          <w:lang w:val="en-US" w:eastAsia="zh-CN"/>
        </w:rPr>
        <w:t>3</w:t>
      </w:r>
      <w:r>
        <w:rPr>
          <w:rFonts w:hint="eastAsia" w:ascii="Times New Roman" w:hAnsi="Times New Roman" w:cs="Times New Roman" w:eastAsiaTheme="minorEastAsia"/>
          <w:lang w:eastAsia="zh-CN"/>
        </w:rPr>
        <w:t>）</w:t>
      </w:r>
      <w:r>
        <w:rPr>
          <w:rFonts w:hint="eastAsia" w:ascii="Times New Roman" w:hAnsi="Times New Roman" w:cs="Times New Roman" w:eastAsiaTheme="minorEastAsia"/>
          <w:lang w:val="en-US" w:eastAsia="zh-CN"/>
        </w:rPr>
        <w:t>已规范厂区环保图形标志</w:t>
      </w:r>
      <w:bookmarkStart w:id="12" w:name="_GoBack"/>
      <w:bookmarkEnd w:id="12"/>
      <w:r>
        <w:rPr>
          <w:rFonts w:hint="eastAsia" w:ascii="Times New Roman" w:hAnsi="Times New Roman" w:cs="Times New Roman" w:eastAsiaTheme="minorEastAsia"/>
          <w:lang w:val="en-US" w:eastAsia="zh-CN"/>
        </w:rPr>
        <w:t>。</w:t>
      </w:r>
    </w:p>
    <w:p w14:paraId="3488FD94">
      <w:pPr>
        <w:bidi w:val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="Times New Roman" w:hAnsi="Times New Roman" w:cs="Times New Roman" w:eastAsiaTheme="minorEastAsia"/>
          <w:lang w:eastAsia="zh-CN"/>
        </w:rPr>
        <w:t>（</w:t>
      </w:r>
      <w:r>
        <w:rPr>
          <w:rFonts w:hint="eastAsia" w:ascii="Times New Roman" w:hAnsi="Times New Roman" w:cs="Times New Roman" w:eastAsiaTheme="minorEastAsia"/>
          <w:lang w:val="en-US" w:eastAsia="zh-CN"/>
        </w:rPr>
        <w:t>4</w:t>
      </w:r>
      <w:r>
        <w:rPr>
          <w:rFonts w:hint="eastAsia" w:ascii="Times New Roman" w:hAnsi="Times New Roman" w:cs="Times New Roman" w:eastAsiaTheme="minorEastAsia"/>
          <w:lang w:eastAsia="zh-CN"/>
        </w:rPr>
        <w:t>）已</w:t>
      </w:r>
      <w:r>
        <w:rPr>
          <w:rFonts w:hint="default" w:ascii="Times New Roman" w:hAnsi="Times New Roman" w:cs="Times New Roman" w:eastAsiaTheme="minorEastAsia"/>
        </w:rPr>
        <w:t>按照《建设项目竣工环境保护验收技术</w:t>
      </w:r>
      <w:r>
        <w:rPr>
          <w:rFonts w:hint="eastAsia" w:asciiTheme="minorEastAsia" w:hAnsiTheme="minorEastAsia" w:eastAsiaTheme="minorEastAsia" w:cstheme="minorEastAsia"/>
        </w:rPr>
        <w:t>指南污染影响类》中“验收监测报告”编制格式和要求，完善项目相关验收支撑材料及有关图件。</w:t>
      </w:r>
    </w:p>
    <w:p w14:paraId="1848318B">
      <w:pPr>
        <w:bidi w:val="0"/>
        <w:rPr>
          <w:rFonts w:hint="eastAsia" w:asciiTheme="minorEastAsia" w:hAnsiTheme="minorEastAsia" w:eastAsiaTheme="minorEastAsia" w:cstheme="minorEastAsia"/>
        </w:rPr>
      </w:pPr>
    </w:p>
    <w:p w14:paraId="01E752E7">
      <w:pPr>
        <w:bidi w:val="0"/>
        <w:rPr>
          <w:rFonts w:hint="eastAsia" w:asciiTheme="minorEastAsia" w:hAnsiTheme="minorEastAsia" w:eastAsiaTheme="minorEastAsia" w:cstheme="minorEastAsia"/>
        </w:rPr>
      </w:pPr>
    </w:p>
    <w:p w14:paraId="315D57CE">
      <w:pPr>
        <w:pStyle w:val="16"/>
        <w:spacing w:before="0" w:beforeAutospacing="0" w:after="0" w:afterAutospacing="0" w:line="360" w:lineRule="exact"/>
        <w:ind w:firstLine="420" w:firstLineChars="200"/>
        <w:jc w:val="both"/>
        <w:outlineLvl w:val="0"/>
        <w:rPr>
          <w:rFonts w:hint="default" w:ascii="Times New Roman" w:hAnsi="Times New Roman" w:cs="Times New Roman"/>
          <w:color w:val="000000"/>
          <w:sz w:val="21"/>
          <w:szCs w:val="21"/>
        </w:rPr>
      </w:pPr>
    </w:p>
    <w:p w14:paraId="1A0C6145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67A0D5"/>
    <w:multiLevelType w:val="singleLevel"/>
    <w:tmpl w:val="7F67A0D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iNDg1Mzc3YTlkZjYxYzM1YmIyZDQ2MmVhYmM1ZmEifQ=="/>
  </w:docVars>
  <w:rsids>
    <w:rsidRoot w:val="00172A27"/>
    <w:rsid w:val="027619AC"/>
    <w:rsid w:val="02C67E9C"/>
    <w:rsid w:val="037F4DFD"/>
    <w:rsid w:val="054902B4"/>
    <w:rsid w:val="06AD0713"/>
    <w:rsid w:val="0A3B68D2"/>
    <w:rsid w:val="0F843530"/>
    <w:rsid w:val="121A373A"/>
    <w:rsid w:val="18C41D98"/>
    <w:rsid w:val="288706E4"/>
    <w:rsid w:val="2BE51C61"/>
    <w:rsid w:val="3A2E0B33"/>
    <w:rsid w:val="401E318F"/>
    <w:rsid w:val="4321364A"/>
    <w:rsid w:val="509931E0"/>
    <w:rsid w:val="60D31FE1"/>
    <w:rsid w:val="618F2BF9"/>
    <w:rsid w:val="689C0DF1"/>
    <w:rsid w:val="702C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line="360" w:lineRule="auto"/>
      <w:ind w:firstLine="723" w:firstLineChars="200"/>
    </w:pPr>
    <w:rPr>
      <w:rFonts w:ascii="Tahoma" w:hAnsi="Tahoma" w:eastAsia="宋体" w:cs="Times New Roman"/>
      <w:sz w:val="24"/>
      <w:szCs w:val="22"/>
      <w:lang w:val="en-US" w:eastAsia="zh-CN" w:bidi="ar-SA"/>
    </w:rPr>
  </w:style>
  <w:style w:type="paragraph" w:styleId="3">
    <w:name w:val="heading 1"/>
    <w:basedOn w:val="1"/>
    <w:next w:val="1"/>
    <w:link w:val="9"/>
    <w:autoRedefine/>
    <w:qFormat/>
    <w:uiPriority w:val="0"/>
    <w:pPr>
      <w:keepNext/>
      <w:keepLines/>
      <w:spacing w:line="360" w:lineRule="auto"/>
      <w:ind w:firstLine="0" w:firstLineChars="0"/>
      <w:jc w:val="left"/>
      <w:outlineLvl w:val="0"/>
    </w:pPr>
    <w:rPr>
      <w:rFonts w:eastAsiaTheme="majorEastAsia"/>
      <w:b/>
      <w:bCs/>
      <w:kern w:val="44"/>
      <w:sz w:val="36"/>
      <w:szCs w:val="44"/>
    </w:rPr>
  </w:style>
  <w:style w:type="paragraph" w:styleId="4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ind w:firstLine="0" w:firstLineChars="0"/>
      <w:outlineLvl w:val="1"/>
    </w:pPr>
    <w:rPr>
      <w:rFonts w:eastAsiaTheme="majorEastAsia" w:cstheme="majorBidi"/>
      <w:b/>
      <w:bCs/>
      <w:sz w:val="28"/>
      <w:szCs w:val="32"/>
    </w:rPr>
  </w:style>
  <w:style w:type="paragraph" w:styleId="5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ind w:firstLine="0" w:firstLineChars="0"/>
      <w:outlineLvl w:val="2"/>
    </w:pPr>
    <w:rPr>
      <w:rFonts w:eastAsiaTheme="majorEastAsia"/>
      <w:b/>
      <w:bCs/>
      <w:szCs w:val="32"/>
    </w:rPr>
  </w:style>
  <w:style w:type="paragraph" w:styleId="6">
    <w:name w:val="heading 4"/>
    <w:basedOn w:val="1"/>
    <w:next w:val="1"/>
    <w:link w:val="12"/>
    <w:semiHidden/>
    <w:unhideWhenUsed/>
    <w:qFormat/>
    <w:uiPriority w:val="0"/>
    <w:pPr>
      <w:keepNext/>
      <w:keepLines/>
      <w:ind w:firstLine="0" w:firstLineChars="0"/>
      <w:outlineLvl w:val="3"/>
    </w:pPr>
    <w:rPr>
      <w:rFonts w:eastAsiaTheme="majorEastAsia" w:cstheme="majorBidi"/>
      <w:bCs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link w:val="19"/>
    <w:autoRedefine/>
    <w:qFormat/>
    <w:uiPriority w:val="0"/>
    <w:rPr>
      <w:rFonts w:ascii="宋体" w:hAnsi="Courier New"/>
    </w:rPr>
  </w:style>
  <w:style w:type="character" w:customStyle="1" w:styleId="9">
    <w:name w:val="标题 1 Char2"/>
    <w:basedOn w:val="8"/>
    <w:link w:val="3"/>
    <w:qFormat/>
    <w:uiPriority w:val="9"/>
    <w:rPr>
      <w:rFonts w:asciiTheme="minorHAnsi" w:hAnsiTheme="minorHAnsi" w:eastAsiaTheme="majorEastAsia" w:cstheme="minorBidi"/>
      <w:b/>
      <w:bCs/>
      <w:kern w:val="44"/>
      <w:sz w:val="36"/>
      <w:szCs w:val="44"/>
    </w:rPr>
  </w:style>
  <w:style w:type="character" w:customStyle="1" w:styleId="10">
    <w:name w:val="标题 2 Char1"/>
    <w:basedOn w:val="8"/>
    <w:link w:val="4"/>
    <w:qFormat/>
    <w:uiPriority w:val="9"/>
    <w:rPr>
      <w:rFonts w:ascii="Times New Roman" w:hAnsi="Times New Roman" w:eastAsiaTheme="majorEastAsia" w:cstheme="majorBidi"/>
      <w:b/>
      <w:bCs/>
      <w:kern w:val="0"/>
      <w:sz w:val="28"/>
      <w:szCs w:val="32"/>
    </w:rPr>
  </w:style>
  <w:style w:type="character" w:customStyle="1" w:styleId="11">
    <w:name w:val="标题 3 Char1"/>
    <w:basedOn w:val="8"/>
    <w:link w:val="5"/>
    <w:autoRedefine/>
    <w:qFormat/>
    <w:uiPriority w:val="9"/>
    <w:rPr>
      <w:rFonts w:ascii="Times New Roman" w:hAnsi="Times New Roman" w:cs="宋体" w:eastAsiaTheme="majorEastAsia"/>
      <w:b/>
      <w:bCs/>
      <w:kern w:val="0"/>
      <w:sz w:val="24"/>
      <w:szCs w:val="32"/>
    </w:rPr>
  </w:style>
  <w:style w:type="character" w:customStyle="1" w:styleId="12">
    <w:name w:val="标题 4 Char2"/>
    <w:basedOn w:val="8"/>
    <w:link w:val="6"/>
    <w:qFormat/>
    <w:uiPriority w:val="9"/>
    <w:rPr>
      <w:rFonts w:ascii="Times New Roman" w:hAnsi="Times New Roman" w:eastAsiaTheme="majorEastAsia" w:cstheme="majorBidi"/>
      <w:bCs/>
      <w:kern w:val="0"/>
      <w:sz w:val="24"/>
      <w:szCs w:val="28"/>
    </w:rPr>
  </w:style>
  <w:style w:type="paragraph" w:customStyle="1" w:styleId="13">
    <w:name w:val="表格标题"/>
    <w:basedOn w:val="1"/>
    <w:next w:val="1"/>
    <w:autoRedefine/>
    <w:qFormat/>
    <w:uiPriority w:val="0"/>
    <w:pPr>
      <w:tabs>
        <w:tab w:val="center" w:pos="4395"/>
      </w:tabs>
      <w:snapToGrid w:val="0"/>
      <w:ind w:firstLine="0" w:firstLineChars="0"/>
      <w:jc w:val="center"/>
    </w:pPr>
    <w:rPr>
      <w:rFonts w:ascii="Times New Roman" w:hAnsi="Times New Roman" w:eastAsia="宋体" w:cs="Times New Roman"/>
      <w:b/>
      <w:szCs w:val="24"/>
    </w:rPr>
  </w:style>
  <w:style w:type="paragraph" w:customStyle="1" w:styleId="14">
    <w:name w:val="表格"/>
    <w:basedOn w:val="1"/>
    <w:next w:val="1"/>
    <w:link w:val="15"/>
    <w:qFormat/>
    <w:uiPriority w:val="0"/>
    <w:pPr>
      <w:adjustRightInd w:val="0"/>
      <w:snapToGrid w:val="0"/>
      <w:spacing w:line="240" w:lineRule="auto"/>
      <w:ind w:firstLine="0" w:firstLineChars="0"/>
      <w:jc w:val="center"/>
    </w:pPr>
    <w:rPr>
      <w:rFonts w:ascii="Times New Roman" w:hAnsi="Times New Roman" w:eastAsia="宋体" w:cs="Times New Roman"/>
      <w:sz w:val="21"/>
      <w:szCs w:val="20"/>
    </w:rPr>
  </w:style>
  <w:style w:type="character" w:customStyle="1" w:styleId="15">
    <w:name w:val="表格 Char"/>
    <w:link w:val="14"/>
    <w:qFormat/>
    <w:uiPriority w:val="0"/>
    <w:rPr>
      <w:rFonts w:ascii="Times New Roman" w:hAnsi="Times New Roman" w:eastAsia="宋体" w:cs="Times New Roman"/>
      <w:sz w:val="21"/>
      <w:szCs w:val="20"/>
    </w:rPr>
  </w:style>
  <w:style w:type="paragraph" w:customStyle="1" w:styleId="16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17">
    <w:name w:val="List Paragraph"/>
    <w:basedOn w:val="1"/>
    <w:unhideWhenUsed/>
    <w:qFormat/>
    <w:uiPriority w:val="1"/>
    <w:pPr>
      <w:spacing w:beforeLines="0" w:afterLines="0"/>
    </w:pPr>
    <w:rPr>
      <w:rFonts w:hint="default"/>
      <w:sz w:val="24"/>
    </w:rPr>
  </w:style>
  <w:style w:type="paragraph" w:customStyle="1" w:styleId="18">
    <w:name w:val="Table Paragraph"/>
    <w:basedOn w:val="1"/>
    <w:unhideWhenUsed/>
    <w:qFormat/>
    <w:uiPriority w:val="1"/>
    <w:pPr>
      <w:spacing w:beforeLines="0" w:afterLines="0"/>
    </w:pPr>
    <w:rPr>
      <w:rFonts w:hint="default"/>
      <w:sz w:val="24"/>
    </w:rPr>
  </w:style>
  <w:style w:type="character" w:customStyle="1" w:styleId="19">
    <w:name w:val="纯文本 Char"/>
    <w:basedOn w:val="8"/>
    <w:link w:val="2"/>
    <w:autoRedefine/>
    <w:qFormat/>
    <w:uiPriority w:val="0"/>
    <w:rPr>
      <w:rFonts w:hint="eastAsia" w:ascii="宋体" w:hAnsi="Courier New" w:eastAsia="宋体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1592</Words>
  <Characters>1661</Characters>
  <Lines>0</Lines>
  <Paragraphs>0</Paragraphs>
  <TotalTime>20</TotalTime>
  <ScaleCrop>false</ScaleCrop>
  <LinksUpToDate>false</LinksUpToDate>
  <CharactersWithSpaces>1664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2020-08-24T05:29:00Z</dcterms:created>
  <dc:creator>Administrator</dc:creator>
  <cp:lastModifiedBy>哈哈</cp:lastModifiedBy>
  <dcterms:modified xsi:type="dcterms:W3CDTF">2025-09-11T07:26:28Z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C7FE6D0E691D460B908DE0DBE3E0E02F</vt:lpwstr>
  </property>
  <property fmtid="{D5CDD505-2E9C-101B-9397-08002B2CF9AE}" pid="4" name="KSOTemplateDocerSaveRecord">
    <vt:lpwstr>eyJoZGlkIjoiMDZiY2FmZjc4OGQzY2Y3MWQ2MzE5ODNkOWU5NTUwMzYiLCJ1c2VySWQiOiI2MTY3NzkyMzQifQ==</vt:lpwstr>
  </property>
</Properties>
</file>